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bookmarkEnd w:id="0"/>
    </w:p>
    <w:p>
      <w:pPr>
        <w:jc w:val="distribute"/>
        <w:rPr>
          <w:sz w:val="36"/>
          <w:szCs w:val="36"/>
        </w:rPr>
      </w:pPr>
      <w:r>
        <w:rPr>
          <w:rFonts w:hint="eastAsia"/>
          <w:b/>
          <w:bCs/>
          <w:kern w:val="0"/>
          <w:sz w:val="36"/>
          <w:szCs w:val="36"/>
        </w:rPr>
        <w:t>深圳市粤鑫贵金属有限公司</w:t>
      </w:r>
    </w:p>
    <w:p>
      <w:pPr>
        <w:jc w:val="distribute"/>
        <w:rPr>
          <w:sz w:val="36"/>
          <w:szCs w:val="36"/>
        </w:rPr>
      </w:pPr>
    </w:p>
    <w:p>
      <w:pPr>
        <w:ind w:firstLine="3123" w:firstLineChars="600"/>
        <w:jc w:val="both"/>
        <w:rPr>
          <w:rFonts w:ascii="华文宋体" w:hAnsi="华文宋体" w:eastAsia="华文宋体"/>
          <w:b/>
          <w:sz w:val="52"/>
          <w:szCs w:val="52"/>
        </w:rPr>
      </w:pPr>
      <w:r>
        <w:rPr>
          <w:rFonts w:hint="eastAsia" w:ascii="华文宋体" w:hAnsi="华文宋体" w:eastAsia="华文宋体"/>
          <w:b/>
          <w:sz w:val="52"/>
          <w:szCs w:val="52"/>
        </w:rPr>
        <w:t>申诉机制</w:t>
      </w:r>
    </w:p>
    <w:p>
      <w:pPr>
        <w:ind w:firstLine="2226" w:firstLineChars="695"/>
        <w:jc w:val="center"/>
        <w:rPr>
          <w:rFonts w:ascii="华文宋体" w:hAnsi="华文宋体" w:eastAsia="华文宋体"/>
          <w:b/>
          <w:bCs/>
          <w:sz w:val="32"/>
        </w:rPr>
      </w:pPr>
    </w:p>
    <w:p>
      <w:pPr>
        <w:spacing w:line="360" w:lineRule="auto"/>
        <w:ind w:firstLine="904" w:firstLineChars="300"/>
        <w:jc w:val="both"/>
        <w:rPr>
          <w:rFonts w:hint="eastAsia"/>
          <w:b/>
          <w:sz w:val="30"/>
          <w:szCs w:val="30"/>
        </w:rPr>
      </w:pPr>
    </w:p>
    <w:p>
      <w:pPr>
        <w:spacing w:line="360" w:lineRule="auto"/>
        <w:ind w:firstLine="3012" w:firstLineChars="1000"/>
        <w:jc w:val="both"/>
        <w:rPr>
          <w:rFonts w:hint="eastAsia"/>
          <w:b/>
          <w:sz w:val="30"/>
          <w:szCs w:val="30"/>
        </w:rPr>
      </w:pPr>
    </w:p>
    <w:p>
      <w:pPr>
        <w:spacing w:line="360" w:lineRule="auto"/>
        <w:ind w:firstLine="3012" w:firstLineChars="1000"/>
        <w:jc w:val="both"/>
        <w:rPr>
          <w:rFonts w:hint="eastAsia"/>
          <w:b/>
          <w:sz w:val="30"/>
          <w:szCs w:val="30"/>
        </w:rPr>
      </w:pPr>
    </w:p>
    <w:p>
      <w:pPr>
        <w:spacing w:line="360" w:lineRule="auto"/>
        <w:ind w:firstLine="3012" w:firstLineChars="1000"/>
        <w:jc w:val="both"/>
        <w:rPr>
          <w:rFonts w:hint="eastAsia"/>
          <w:b/>
          <w:sz w:val="30"/>
          <w:szCs w:val="30"/>
        </w:rPr>
      </w:pPr>
    </w:p>
    <w:p>
      <w:pPr>
        <w:spacing w:line="360" w:lineRule="auto"/>
        <w:ind w:firstLine="3012" w:firstLineChars="1000"/>
        <w:jc w:val="both"/>
        <w:rPr>
          <w:rFonts w:hint="eastAsia"/>
          <w:b/>
          <w:sz w:val="30"/>
          <w:szCs w:val="30"/>
        </w:rPr>
      </w:pPr>
    </w:p>
    <w:p>
      <w:pPr>
        <w:spacing w:line="360" w:lineRule="auto"/>
        <w:ind w:firstLine="3012" w:firstLineChars="1000"/>
        <w:jc w:val="both"/>
        <w:rPr>
          <w:rFonts w:hint="eastAsia"/>
          <w:b/>
          <w:sz w:val="30"/>
          <w:szCs w:val="30"/>
        </w:rPr>
      </w:pPr>
    </w:p>
    <w:p>
      <w:pPr>
        <w:spacing w:line="360" w:lineRule="auto"/>
        <w:ind w:firstLine="3012" w:firstLineChars="1000"/>
        <w:jc w:val="both"/>
        <w:rPr>
          <w:rFonts w:hint="eastAsia"/>
          <w:b/>
          <w:sz w:val="30"/>
          <w:szCs w:val="30"/>
        </w:rPr>
      </w:pPr>
    </w:p>
    <w:p>
      <w:pPr>
        <w:spacing w:line="360" w:lineRule="auto"/>
        <w:ind w:firstLine="3012" w:firstLineChars="1000"/>
        <w:jc w:val="both"/>
        <w:rPr>
          <w:rFonts w:hint="eastAsia"/>
          <w:b/>
          <w:sz w:val="30"/>
          <w:szCs w:val="30"/>
        </w:rPr>
      </w:pPr>
    </w:p>
    <w:p>
      <w:pPr>
        <w:spacing w:line="360" w:lineRule="auto"/>
        <w:ind w:firstLine="3012" w:firstLineChars="1000"/>
        <w:jc w:val="both"/>
        <w:rPr>
          <w:rFonts w:hint="eastAsia"/>
          <w:b/>
          <w:sz w:val="30"/>
          <w:szCs w:val="30"/>
        </w:rPr>
      </w:pPr>
    </w:p>
    <w:p>
      <w:pPr>
        <w:spacing w:line="360" w:lineRule="auto"/>
        <w:ind w:firstLine="3012" w:firstLineChars="1000"/>
        <w:jc w:val="both"/>
        <w:rPr>
          <w:rFonts w:hint="eastAsia"/>
          <w:b/>
          <w:sz w:val="30"/>
          <w:szCs w:val="30"/>
        </w:rPr>
      </w:pPr>
    </w:p>
    <w:p>
      <w:pPr>
        <w:spacing w:line="360" w:lineRule="auto"/>
        <w:ind w:firstLine="3012" w:firstLineChars="1000"/>
        <w:jc w:val="both"/>
        <w:rPr>
          <w:rFonts w:hint="default" w:eastAsia="宋体"/>
          <w:sz w:val="32"/>
          <w:szCs w:val="32"/>
          <w:lang w:val="en-US" w:eastAsia="zh-CN"/>
        </w:rPr>
      </w:pPr>
      <w:r>
        <w:rPr>
          <w:rFonts w:hint="eastAsia"/>
          <w:b/>
          <w:sz w:val="30"/>
          <w:szCs w:val="30"/>
        </w:rPr>
        <w:t>编制：</w:t>
      </w:r>
      <w:r>
        <w:rPr>
          <w:rFonts w:hint="eastAsia"/>
          <w:b/>
          <w:sz w:val="30"/>
          <w:szCs w:val="30"/>
          <w:u w:val="single"/>
        </w:rPr>
        <w:t xml:space="preserve"> </w:t>
      </w:r>
      <w:r>
        <w:rPr>
          <w:rFonts w:hint="eastAsia"/>
          <w:b/>
          <w:sz w:val="30"/>
          <w:szCs w:val="30"/>
          <w:u w:val="single"/>
          <w:lang w:val="en-US" w:eastAsia="zh-CN"/>
        </w:rPr>
        <w:t>杨培茹</w:t>
      </w:r>
    </w:p>
    <w:p>
      <w:pPr>
        <w:spacing w:line="360" w:lineRule="auto"/>
        <w:ind w:firstLine="3012" w:firstLineChars="1000"/>
        <w:jc w:val="both"/>
        <w:rPr>
          <w:sz w:val="32"/>
          <w:szCs w:val="32"/>
        </w:rPr>
      </w:pPr>
      <w:r>
        <w:rPr>
          <w:rFonts w:hint="eastAsia"/>
          <w:b/>
          <w:sz w:val="30"/>
          <w:szCs w:val="30"/>
        </w:rPr>
        <w:t>审核：</w:t>
      </w:r>
      <w:r>
        <w:rPr>
          <w:rFonts w:hint="eastAsia"/>
          <w:b/>
          <w:sz w:val="30"/>
          <w:szCs w:val="30"/>
          <w:u w:val="single"/>
        </w:rPr>
        <w:t xml:space="preserve"> </w:t>
      </w:r>
      <w:r>
        <w:rPr>
          <w:rFonts w:hint="eastAsia"/>
          <w:b/>
          <w:sz w:val="30"/>
          <w:szCs w:val="30"/>
          <w:u w:val="single"/>
          <w:lang w:val="en-US" w:eastAsia="zh-CN"/>
        </w:rPr>
        <w:t>王镇城</w:t>
      </w:r>
      <w:r>
        <w:rPr>
          <w:rFonts w:hint="eastAsia"/>
          <w:b/>
          <w:sz w:val="30"/>
          <w:szCs w:val="30"/>
          <w:u w:val="single"/>
        </w:rPr>
        <w:t xml:space="preserve"> </w:t>
      </w:r>
    </w:p>
    <w:p>
      <w:pPr>
        <w:spacing w:line="360" w:lineRule="auto"/>
        <w:ind w:firstLine="3012" w:firstLineChars="1000"/>
        <w:jc w:val="both"/>
        <w:rPr>
          <w:b/>
          <w:sz w:val="30"/>
          <w:szCs w:val="30"/>
        </w:rPr>
      </w:pPr>
      <w:r>
        <w:rPr>
          <w:rFonts w:hint="eastAsia"/>
          <w:b/>
          <w:sz w:val="30"/>
          <w:szCs w:val="30"/>
        </w:rPr>
        <w:t>批准：</w:t>
      </w:r>
      <w:r>
        <w:rPr>
          <w:rFonts w:hint="eastAsia"/>
          <w:b/>
          <w:sz w:val="30"/>
          <w:szCs w:val="30"/>
          <w:u w:val="single"/>
        </w:rPr>
        <w:t xml:space="preserve"> </w:t>
      </w:r>
      <w:r>
        <w:rPr>
          <w:rFonts w:hint="eastAsia"/>
          <w:b/>
          <w:sz w:val="30"/>
          <w:szCs w:val="30"/>
          <w:u w:val="single"/>
          <w:lang w:val="en-US" w:eastAsia="zh-CN"/>
        </w:rPr>
        <w:t>蔡海涛</w:t>
      </w:r>
      <w:r>
        <w:rPr>
          <w:rFonts w:hint="eastAsia"/>
          <w:b/>
          <w:sz w:val="30"/>
          <w:szCs w:val="30"/>
          <w:u w:val="single"/>
        </w:rPr>
        <w:t xml:space="preserve"> </w:t>
      </w:r>
    </w:p>
    <w:p>
      <w:pPr>
        <w:spacing w:line="360" w:lineRule="auto"/>
        <w:jc w:val="center"/>
        <w:rPr>
          <w:rFonts w:hint="eastAsia" w:eastAsia="宋体"/>
          <w:b/>
          <w:sz w:val="30"/>
          <w:szCs w:val="30"/>
          <w:lang w:val="en-US" w:eastAsia="zh-CN"/>
        </w:rPr>
      </w:pPr>
      <w:r>
        <w:rPr>
          <w:rFonts w:hint="eastAsia"/>
          <w:b/>
          <w:sz w:val="30"/>
          <w:szCs w:val="30"/>
        </w:rPr>
        <w:t>生效日期：</w:t>
      </w:r>
      <w:r>
        <w:rPr>
          <w:rFonts w:hint="eastAsia"/>
          <w:b/>
          <w:sz w:val="30"/>
          <w:szCs w:val="30"/>
          <w:u w:val="single"/>
        </w:rPr>
        <w:t>202</w:t>
      </w:r>
      <w:r>
        <w:rPr>
          <w:rFonts w:hint="eastAsia"/>
          <w:b/>
          <w:sz w:val="30"/>
          <w:szCs w:val="30"/>
          <w:u w:val="single"/>
          <w:lang w:val="en-US" w:eastAsia="zh-CN"/>
        </w:rPr>
        <w:t>2</w:t>
      </w:r>
      <w:r>
        <w:rPr>
          <w:rFonts w:hint="eastAsia"/>
          <w:b/>
          <w:sz w:val="30"/>
          <w:szCs w:val="30"/>
          <w:u w:val="single"/>
        </w:rPr>
        <w:t>-</w:t>
      </w:r>
      <w:r>
        <w:rPr>
          <w:rFonts w:hint="eastAsia"/>
          <w:b/>
          <w:sz w:val="30"/>
          <w:szCs w:val="30"/>
          <w:u w:val="single"/>
          <w:lang w:val="en-US" w:eastAsia="zh-CN"/>
        </w:rPr>
        <w:t>11</w:t>
      </w:r>
      <w:r>
        <w:rPr>
          <w:rFonts w:hint="eastAsia"/>
          <w:b/>
          <w:sz w:val="30"/>
          <w:szCs w:val="30"/>
          <w:u w:val="single"/>
        </w:rPr>
        <w:t>-1</w:t>
      </w:r>
      <w:r>
        <w:rPr>
          <w:rFonts w:hint="eastAsia"/>
          <w:b/>
          <w:sz w:val="30"/>
          <w:szCs w:val="30"/>
          <w:u w:val="single"/>
          <w:lang w:val="en-US" w:eastAsia="zh-CN"/>
        </w:rPr>
        <w:t>8</w:t>
      </w:r>
    </w:p>
    <w:p>
      <w:pPr>
        <w:pStyle w:val="8"/>
        <w:spacing w:line="360" w:lineRule="auto"/>
        <w:jc w:val="center"/>
        <w:rPr>
          <w:rFonts w:ascii="方正小标宋简体" w:hAnsi="方正小标宋简体" w:eastAsia="方正小标宋简体" w:cs="方正小标宋简体"/>
          <w:bCs/>
          <w:kern w:val="2"/>
          <w:sz w:val="44"/>
          <w:szCs w:val="44"/>
        </w:rPr>
      </w:pPr>
    </w:p>
    <w:p>
      <w:pPr>
        <w:pStyle w:val="8"/>
        <w:spacing w:line="360" w:lineRule="auto"/>
        <w:jc w:val="center"/>
        <w:rPr>
          <w:rFonts w:ascii="方正小标宋简体" w:hAnsi="方正小标宋简体" w:eastAsia="方正小标宋简体" w:cs="方正小标宋简体"/>
          <w:bCs/>
          <w:kern w:val="2"/>
          <w:sz w:val="44"/>
          <w:szCs w:val="44"/>
        </w:rPr>
      </w:pPr>
    </w:p>
    <w:p>
      <w:pPr>
        <w:spacing w:line="360" w:lineRule="auto"/>
        <w:ind w:firstLine="640" w:firstLineChars="200"/>
        <w:rPr>
          <w:rFonts w:ascii="仿宋" w:hAnsi="仿宋" w:eastAsia="仿宋" w:cs="仿宋"/>
          <w:color w:val="000000"/>
          <w:sz w:val="32"/>
          <w:szCs w:val="32"/>
        </w:rPr>
      </w:pPr>
    </w:p>
    <w:p/>
    <w:p>
      <w:pPr>
        <w:numPr>
          <w:ilvl w:val="0"/>
          <w:numId w:val="1"/>
        </w:num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目的</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为加强精炼厂</w:t>
      </w:r>
      <w:r>
        <w:rPr>
          <w:rFonts w:hint="eastAsia" w:ascii="宋体" w:hAnsi="宋体" w:cs="Calibri"/>
          <w:color w:val="000000"/>
          <w:kern w:val="0"/>
          <w:sz w:val="24"/>
          <w:lang w:val="en-US" w:eastAsia="zh-CN"/>
        </w:rPr>
        <w:t>黄金、</w:t>
      </w:r>
      <w:r>
        <w:rPr>
          <w:rFonts w:hint="eastAsia" w:ascii="宋体" w:hAnsi="宋体" w:cs="Calibri"/>
          <w:color w:val="000000"/>
          <w:kern w:val="0"/>
          <w:sz w:val="24"/>
        </w:rPr>
        <w:t>白银供应链合规性管理，根据《LBMA负责任</w:t>
      </w:r>
      <w:r>
        <w:rPr>
          <w:rFonts w:hint="eastAsia" w:ascii="宋体" w:hAnsi="宋体" w:cs="Calibri"/>
          <w:color w:val="000000"/>
          <w:kern w:val="0"/>
          <w:sz w:val="24"/>
          <w:lang w:val="en-US" w:eastAsia="zh-CN"/>
        </w:rPr>
        <w:t>黄金、</w:t>
      </w:r>
      <w:r>
        <w:rPr>
          <w:rFonts w:hint="eastAsia" w:ascii="宋体" w:hAnsi="宋体" w:cs="Calibri"/>
          <w:color w:val="000000"/>
          <w:kern w:val="0"/>
          <w:sz w:val="24"/>
        </w:rPr>
        <w:t>白银指南》的要求，确保供应链无侵犯人权、洗钱及恐怖分子筹资等行为。我司制定了含银物料和销售审查制度，供应商都应配合公司尽职调查小组的审查。各供应商应遵守国家相关法律法规，对供应的白银确保来源和去向合规。允许公司的相关方（受影响人员或举报者）说出与采矿、贸易、加工和出口情况有关的疑虑并得到妥善处理。</w:t>
      </w:r>
    </w:p>
    <w:p>
      <w:pPr>
        <w:numPr>
          <w:ilvl w:val="0"/>
          <w:numId w:val="1"/>
        </w:num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依据</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《LBMA负责任</w:t>
      </w:r>
      <w:r>
        <w:rPr>
          <w:rFonts w:hint="eastAsia" w:ascii="宋体" w:hAnsi="宋体" w:cs="Calibri"/>
          <w:color w:val="000000"/>
          <w:kern w:val="0"/>
          <w:sz w:val="24"/>
          <w:lang w:val="en-US" w:eastAsia="zh-CN"/>
        </w:rPr>
        <w:t>黄金、</w:t>
      </w:r>
      <w:r>
        <w:rPr>
          <w:rFonts w:hint="eastAsia" w:ascii="宋体" w:hAnsi="宋体" w:cs="Calibri"/>
          <w:color w:val="000000"/>
          <w:kern w:val="0"/>
          <w:sz w:val="24"/>
        </w:rPr>
        <w:t>白银指南》、《LBMA负责任的</w:t>
      </w:r>
      <w:r>
        <w:rPr>
          <w:rFonts w:hint="eastAsia" w:ascii="宋体" w:hAnsi="宋体" w:cs="Calibri"/>
          <w:color w:val="000000"/>
          <w:kern w:val="0"/>
          <w:sz w:val="24"/>
          <w:lang w:val="en-US" w:eastAsia="zh-CN"/>
        </w:rPr>
        <w:t>黄金、</w:t>
      </w:r>
      <w:r>
        <w:rPr>
          <w:rFonts w:hint="eastAsia" w:ascii="宋体" w:hAnsi="宋体" w:cs="Calibri"/>
          <w:color w:val="000000"/>
          <w:kern w:val="0"/>
          <w:sz w:val="24"/>
        </w:rPr>
        <w:t>白银供应链尽职调查管理体系》</w:t>
      </w:r>
    </w:p>
    <w:p>
      <w:pPr>
        <w:numPr>
          <w:ilvl w:val="0"/>
          <w:numId w:val="1"/>
        </w:num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适用范围</w:t>
      </w:r>
    </w:p>
    <w:p>
      <w:pPr>
        <w:spacing w:line="360" w:lineRule="auto"/>
        <w:ind w:firstLine="480" w:firstLineChars="200"/>
        <w:rPr>
          <w:rFonts w:ascii="宋体" w:hAnsi="宋体" w:cs="宋体"/>
          <w:color w:val="333333"/>
          <w:kern w:val="0"/>
          <w:sz w:val="24"/>
        </w:rPr>
      </w:pPr>
      <w:r>
        <w:rPr>
          <w:rFonts w:hint="eastAsia" w:ascii="宋体" w:hAnsi="宋体" w:cs="Calibri"/>
          <w:color w:val="000000"/>
          <w:kern w:val="0"/>
          <w:sz w:val="24"/>
        </w:rPr>
        <w:t>本程序适用于本公司的相关方及本公司涉及负责任矿物采购相关工作的部门、单位及人员。</w:t>
      </w:r>
    </w:p>
    <w:p>
      <w:pPr>
        <w:numPr>
          <w:ilvl w:val="0"/>
          <w:numId w:val="1"/>
        </w:num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管理机构及职责</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公司设立申诉工作处理小组，成员由风险总监、合规风控官、合规专员组成，工作组负责对申诉的处理。</w:t>
      </w:r>
    </w:p>
    <w:p>
      <w:pPr>
        <w:numPr>
          <w:ilvl w:val="0"/>
          <w:numId w:val="1"/>
        </w:num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工作程序</w:t>
      </w:r>
    </w:p>
    <w:p>
      <w:p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5.1 申诉信息的收集</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公司设立联系/申诉渠道：</w:t>
      </w:r>
    </w:p>
    <w:p>
      <w:pPr>
        <w:widowControl/>
        <w:spacing w:line="390" w:lineRule="atLeast"/>
        <w:ind w:firstLine="480" w:firstLineChars="200"/>
        <w:jc w:val="left"/>
        <w:rPr>
          <w:rFonts w:ascii="宋体" w:hAnsi="宋体" w:eastAsia="宋体" w:cs="宋体"/>
          <w:color w:val="auto"/>
          <w:kern w:val="0"/>
          <w:sz w:val="24"/>
          <w:szCs w:val="24"/>
        </w:rPr>
      </w:pPr>
      <w:r>
        <w:rPr>
          <w:rFonts w:hint="eastAsia" w:ascii="宋体" w:hAnsi="宋体" w:cs="Calibri"/>
          <w:color w:val="000000"/>
          <w:kern w:val="0"/>
          <w:sz w:val="24"/>
        </w:rPr>
        <w:t>合规总监：</w:t>
      </w:r>
      <w:r>
        <w:rPr>
          <w:rFonts w:hint="eastAsia" w:ascii="宋体" w:hAnsi="宋体" w:cs="Calibri"/>
          <w:color w:val="000000"/>
          <w:kern w:val="0"/>
          <w:sz w:val="24"/>
          <w:lang w:val="en-US" w:eastAsia="zh-CN"/>
        </w:rPr>
        <w:t xml:space="preserve">  </w:t>
      </w:r>
      <w:r>
        <w:rPr>
          <w:rFonts w:hint="eastAsia" w:ascii="宋体" w:hAnsi="宋体" w:eastAsia="宋体" w:cs="宋体"/>
          <w:color w:val="auto"/>
          <w:kern w:val="0"/>
          <w:sz w:val="24"/>
          <w:szCs w:val="24"/>
          <w:lang w:val="en-US" w:eastAsia="zh-CN"/>
        </w:rPr>
        <w:t>王镇城</w:t>
      </w:r>
      <w:r>
        <w:rPr>
          <w:rFonts w:ascii="宋体" w:hAnsi="宋体" w:eastAsia="宋体" w:cs="宋体"/>
          <w:color w:val="auto"/>
          <w:kern w:val="0"/>
          <w:sz w:val="24"/>
          <w:szCs w:val="24"/>
        </w:rPr>
        <w:t>   0755-</w:t>
      </w:r>
      <w:r>
        <w:rPr>
          <w:rFonts w:hint="eastAsia" w:ascii="宋体" w:hAnsi="宋体" w:eastAsia="宋体" w:cs="宋体"/>
          <w:color w:val="auto"/>
          <w:kern w:val="0"/>
          <w:sz w:val="24"/>
          <w:szCs w:val="24"/>
          <w:lang w:val="en-US" w:eastAsia="zh-CN"/>
        </w:rPr>
        <w:t>28510489</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150018161</w:t>
      </w:r>
      <w:r>
        <w:rPr>
          <w:rFonts w:ascii="宋体" w:hAnsi="宋体" w:eastAsia="宋体" w:cs="宋体"/>
          <w:color w:val="auto"/>
          <w:kern w:val="0"/>
          <w:sz w:val="24"/>
          <w:szCs w:val="24"/>
        </w:rPr>
        <w:t>@qq.com</w:t>
      </w:r>
    </w:p>
    <w:p>
      <w:pPr>
        <w:widowControl/>
        <w:spacing w:line="390" w:lineRule="atLeast"/>
        <w:ind w:firstLine="480" w:firstLineChars="200"/>
        <w:jc w:val="left"/>
        <w:rPr>
          <w:rFonts w:ascii="宋体" w:hAnsi="宋体" w:eastAsia="宋体" w:cs="宋体"/>
          <w:color w:val="auto"/>
          <w:kern w:val="0"/>
          <w:sz w:val="24"/>
          <w:szCs w:val="24"/>
        </w:rPr>
      </w:pPr>
      <w:r>
        <w:rPr>
          <w:rFonts w:hint="eastAsia" w:ascii="宋体" w:hAnsi="宋体" w:cs="Calibri"/>
          <w:color w:val="000000"/>
          <w:kern w:val="0"/>
          <w:sz w:val="24"/>
        </w:rPr>
        <w:t>合规风控官：</w:t>
      </w:r>
      <w:r>
        <w:rPr>
          <w:rFonts w:hint="eastAsia" w:ascii="宋体" w:hAnsi="宋体" w:eastAsia="宋体" w:cs="宋体"/>
          <w:color w:val="auto"/>
          <w:kern w:val="0"/>
          <w:sz w:val="24"/>
          <w:szCs w:val="24"/>
          <w:lang w:val="en-US" w:eastAsia="zh-CN"/>
        </w:rPr>
        <w:t>杨培茹</w:t>
      </w:r>
      <w:r>
        <w:rPr>
          <w:rFonts w:ascii="宋体" w:hAnsi="宋体" w:eastAsia="宋体" w:cs="宋体"/>
          <w:color w:val="auto"/>
          <w:kern w:val="0"/>
          <w:sz w:val="24"/>
          <w:szCs w:val="24"/>
        </w:rPr>
        <w:t>   0755-2</w:t>
      </w:r>
      <w:r>
        <w:rPr>
          <w:rFonts w:hint="eastAsia" w:ascii="宋体" w:hAnsi="宋体" w:eastAsia="宋体" w:cs="宋体"/>
          <w:color w:val="auto"/>
          <w:kern w:val="0"/>
          <w:sz w:val="24"/>
          <w:szCs w:val="24"/>
          <w:lang w:val="en-US" w:eastAsia="zh-CN"/>
        </w:rPr>
        <w:t>8510489</w:t>
      </w:r>
      <w:r>
        <w:rPr>
          <w:rFonts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 xml:space="preserve"> 2139711696@qq.com</w:t>
      </w:r>
    </w:p>
    <w:p>
      <w:pPr>
        <w:shd w:val="clear"/>
        <w:spacing w:line="360" w:lineRule="auto"/>
        <w:ind w:firstLine="480" w:firstLineChars="200"/>
        <w:rPr>
          <w:rFonts w:ascii="宋体" w:hAnsi="宋体" w:cs="Calibri"/>
          <w:color w:val="000000" w:themeColor="text1"/>
          <w:kern w:val="0"/>
          <w:sz w:val="24"/>
          <w:highlight w:val="none"/>
          <w:shd w:val="clear" w:fill="FFFFFF" w:themeFill="background1"/>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公</w:t>
      </w:r>
      <w:r>
        <w:rPr>
          <w:rFonts w:hint="eastAsia" w:ascii="宋体" w:hAnsi="宋体" w:cs="Calibri"/>
          <w:color w:val="000000" w:themeColor="text1"/>
          <w:kern w:val="0"/>
          <w:sz w:val="24"/>
          <w:highlight w:val="none"/>
          <w:shd w:val="clear" w:fill="FFFFFF" w:themeFill="background1"/>
          <w14:textFill>
            <w14:solidFill>
              <w14:schemeClr w14:val="tx1"/>
            </w14:solidFill>
          </w14:textFill>
        </w:rPr>
        <w:t>司在官网www.</w:t>
      </w:r>
      <w:r>
        <w:rPr>
          <w:rFonts w:hint="eastAsia" w:ascii="宋体" w:hAnsi="宋体" w:cs="Calibri"/>
          <w:color w:val="000000" w:themeColor="text1"/>
          <w:kern w:val="0"/>
          <w:sz w:val="24"/>
          <w:highlight w:val="none"/>
          <w:shd w:val="clear" w:fill="FFFFFF" w:themeFill="background1"/>
          <w:lang w:val="en-US" w:eastAsia="zh-CN"/>
          <w14:textFill>
            <w14:solidFill>
              <w14:schemeClr w14:val="tx1"/>
            </w14:solidFill>
          </w14:textFill>
        </w:rPr>
        <w:t>yuexin9999</w:t>
      </w:r>
      <w:r>
        <w:rPr>
          <w:rFonts w:hint="eastAsia" w:ascii="宋体" w:hAnsi="宋体" w:cs="Calibri"/>
          <w:color w:val="000000" w:themeColor="text1"/>
          <w:kern w:val="0"/>
          <w:sz w:val="24"/>
          <w:highlight w:val="none"/>
          <w:shd w:val="clear" w:fill="FFFFFF" w:themeFill="background1"/>
          <w14:textFill>
            <w14:solidFill>
              <w14:schemeClr w14:val="tx1"/>
            </w14:solidFill>
          </w14:textFill>
        </w:rPr>
        <w:t>.com中《LBMA负责任的</w:t>
      </w:r>
      <w:r>
        <w:rPr>
          <w:rFonts w:hint="eastAsia" w:ascii="宋体" w:hAnsi="宋体" w:cs="Calibri"/>
          <w:color w:val="000000" w:themeColor="text1"/>
          <w:kern w:val="0"/>
          <w:sz w:val="24"/>
          <w:highlight w:val="none"/>
          <w:shd w:val="clear" w:fill="FFFFFF" w:themeFill="background1"/>
          <w:lang w:val="en-US" w:eastAsia="zh-CN"/>
          <w14:textFill>
            <w14:solidFill>
              <w14:schemeClr w14:val="tx1"/>
            </w14:solidFill>
          </w14:textFill>
        </w:rPr>
        <w:t>黄金、</w:t>
      </w:r>
      <w:r>
        <w:rPr>
          <w:rFonts w:hint="eastAsia" w:ascii="宋体" w:hAnsi="宋体" w:cs="Calibri"/>
          <w:color w:val="000000" w:themeColor="text1"/>
          <w:kern w:val="0"/>
          <w:sz w:val="24"/>
          <w:highlight w:val="none"/>
          <w:shd w:val="clear" w:fill="FFFFFF" w:themeFill="background1"/>
          <w14:textFill>
            <w14:solidFill>
              <w14:schemeClr w14:val="tx1"/>
            </w14:solidFill>
          </w14:textFill>
        </w:rPr>
        <w:t>白银公告》中予以公布，电话、电子邮箱用于接收相关的询问和申诉，由公司合规专员定期查看。</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工作中接收到的相关方关于负责任供应链的与采矿、贸易、加工和出口情况有关的疑虑方面的信息。</w:t>
      </w:r>
    </w:p>
    <w:p>
      <w:p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5.2 申诉的内容</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相关方对公司的供应链管理提起申诉时，该申诉需包含以下内容：</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（1）具体说明向何种决定提起申诉及理由；</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（2）附相关书面证据；</w:t>
      </w:r>
    </w:p>
    <w:p>
      <w:pPr>
        <w:spacing w:line="360" w:lineRule="auto"/>
        <w:ind w:firstLine="480" w:firstLineChars="200"/>
        <w:rPr>
          <w:rFonts w:ascii="宋体" w:hAnsi="宋体" w:cs="宋体"/>
          <w:color w:val="333333"/>
          <w:kern w:val="0"/>
          <w:sz w:val="24"/>
        </w:rPr>
      </w:pPr>
      <w:r>
        <w:rPr>
          <w:rFonts w:hint="eastAsia" w:ascii="宋体" w:hAnsi="宋体" w:cs="Calibri"/>
          <w:color w:val="000000"/>
          <w:kern w:val="0"/>
          <w:sz w:val="24"/>
        </w:rPr>
        <w:t>（3）具体说明在提出申诉之前采取了哪些步骤来解决问题；</w:t>
      </w:r>
    </w:p>
    <w:p>
      <w:p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5.3 申诉信息的分类</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公司需对接收到的询问和申诉信息进行分类识别，申诉信息分为一般信息、特殊/重要申诉信息、不予受理信息。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5.3.1 一般信息：相关方对公司负责任矿物供应链管理的咨询、供方的调查问卷等。</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5.3.2 特殊或重要申诉信息：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（1）管理不符合LBMA要求的信息；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（2）对供应商的矿物采购涉及公司识别的高风险区域的信息；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（3）对供应商的矿物采购不符合公司的供应链政策的信息。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5.3.3 不予受理信息：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（1）琐碎、恶意、无理取闹或似乎是为了获得竞争优势而产生的投诉。</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（2）没有令人信服的客观证据支持的投诉。</w:t>
      </w:r>
    </w:p>
    <w:p>
      <w:p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5.4 申诉的处理</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5.4.1 关于匿名申诉</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支持匿名申诉，申诉工作处理小组不得对工作小组以外的任何人泄露申诉人信息，对于可能涉及申诉人信息的申诉内容予以保密，如申诉内容与工作小组成员有利害关系，工作小组应立即要求该成员避嫌。如发现有任何打击报复申诉人的情况，公司将对相关涉事员工按公司章程严肃从重处理，如涉嫌违法犯罪，立即报案并移送司法机关处理。</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5.4.2 申诉处理流程</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申诉处理小组工作组应在收到申诉后 10 个工作日内确认收到申诉，在基于申诉是否符合5.3的基础上确认接受或拒绝申诉。</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如果申诉被拒绝，应向申诉方提供书面解释，并记录在案。不得采取进一步行动。</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对特殊重要申诉信息由申诉处理小组在决定受理后45个工作日内对上诉或投诉进行调查、审查和裁决。处理小组应尽最大努力在截止日期前完成工作。在极少数情况下可能需要额外的时间。申诉处理小组应采取合理措施，包括召开一次或多次会议，以作出合理决定。这类措施的例子包括:</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（1）咨询专家</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（2）请求申诉方或其他人提供更多信息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（3）申诉方不合作可被视为中止该程序的理由。申诉处理小组应协商一致决定是否中止申诉程序。</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（4）申诉决定以书面形式传达给申诉方，申诉决定应包含：</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（5）申诉决定</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（6）申诉决定是如何以及何时做出的</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（7）任何新的建议</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合规专员定期总结风险情况处理结果，并在公司官网公示申诉内容、处理方式及处理结果，合规风控官负责全程监督风险减缓措施的实施并每日向合规总监汇报进度，在风险减缓措施实施完成后，由合规总监定期评估措施的有效性并作出总结和评价。</w:t>
      </w:r>
    </w:p>
    <w:p>
      <w:p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5.5 申诉的记录</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申诉工作处理小组应将收到的申诉记录在案，包括以下内容:</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（1）何人何时提交申诉；</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（2）申诉的类型、问题或主题以及随申诉提交的信息；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（3）接受或拒绝决定。</w:t>
      </w:r>
    </w:p>
    <w:p>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294F4D"/>
    <w:multiLevelType w:val="singleLevel"/>
    <w:tmpl w:val="F9294F4D"/>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66"/>
    <w:rsid w:val="00243624"/>
    <w:rsid w:val="00254DD2"/>
    <w:rsid w:val="003B76BA"/>
    <w:rsid w:val="00404773"/>
    <w:rsid w:val="004C0604"/>
    <w:rsid w:val="006430F5"/>
    <w:rsid w:val="008E1113"/>
    <w:rsid w:val="00974466"/>
    <w:rsid w:val="009B4DEC"/>
    <w:rsid w:val="00C7173A"/>
    <w:rsid w:val="00D40847"/>
    <w:rsid w:val="00D86F57"/>
    <w:rsid w:val="00DD13F4"/>
    <w:rsid w:val="00EC2099"/>
    <w:rsid w:val="014C13EA"/>
    <w:rsid w:val="16E14C54"/>
    <w:rsid w:val="23EC7212"/>
    <w:rsid w:val="4D8423E9"/>
    <w:rsid w:val="50210E61"/>
    <w:rsid w:val="60A41E1E"/>
    <w:rsid w:val="7BF44A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9">
    <w:name w:val="页眉 Char"/>
    <w:basedOn w:val="6"/>
    <w:link w:val="3"/>
    <w:uiPriority w:val="99"/>
    <w:rPr>
      <w:kern w:val="2"/>
      <w:sz w:val="18"/>
      <w:szCs w:val="18"/>
    </w:rPr>
  </w:style>
  <w:style w:type="character" w:customStyle="1" w:styleId="10">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260</Words>
  <Characters>1484</Characters>
  <Lines>12</Lines>
  <Paragraphs>3</Paragraphs>
  <TotalTime>6</TotalTime>
  <ScaleCrop>false</ScaleCrop>
  <LinksUpToDate>false</LinksUpToDate>
  <CharactersWithSpaces>1741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2021-09-01T09:24:00Z</dcterms:created>
  <dc:creator>zhl111</dc:creator>
  <cp:lastModifiedBy>覃克江</cp:lastModifiedBy>
  <dcterms:modified xsi:type="dcterms:W3CDTF">2024-03-12T09:01:58Z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CEBE3B2D6ACC4BE1A28EB1AFC60F4E68</vt:lpwstr>
  </property>
</Properties>
</file>